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A63A43">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C70CE">
              <w:rPr>
                <w:rFonts w:cs="Calibri"/>
                <w:b/>
                <w:color w:val="FF0000"/>
                <w:lang w:eastAsia="en-IN"/>
              </w:rPr>
              <w:t>2</w:t>
            </w:r>
            <w:r w:rsidRPr="00BA621B">
              <w:rPr>
                <w:rFonts w:cs="Calibri"/>
                <w:b/>
                <w:color w:val="FF0000"/>
                <w:lang w:eastAsia="en-IN"/>
              </w:rPr>
              <w:t>(</w:t>
            </w:r>
            <w:r w:rsidR="007C70CE">
              <w:rPr>
                <w:rFonts w:cs="Calibri"/>
                <w:b/>
                <w:color w:val="FF0000"/>
                <w:lang w:eastAsia="en-IN"/>
              </w:rPr>
              <w:t>23</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7C70CE" w:rsidP="008E7360">
            <w:pPr>
              <w:jc w:val="center"/>
              <w:rPr>
                <w:rFonts w:cs="Calibri"/>
                <w:b/>
                <w:color w:val="FF0000"/>
                <w:lang w:eastAsia="en-IN"/>
              </w:rPr>
            </w:pPr>
            <w:r>
              <w:rPr>
                <w:rFonts w:cs="Calibri"/>
                <w:b/>
                <w:color w:val="FF0000"/>
                <w:lang w:eastAsia="en-IN"/>
              </w:rPr>
              <w:t xml:space="preserve">Multimode </w:t>
            </w:r>
            <w:r w:rsidR="00914BAF">
              <w:rPr>
                <w:rFonts w:cs="Calibri"/>
                <w:b/>
                <w:color w:val="FF0000"/>
                <w:lang w:eastAsia="en-IN"/>
              </w:rPr>
              <w:t>Microplate Reader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A63A43" w:rsidP="00A63A43">
            <w:pPr>
              <w:jc w:val="center"/>
              <w:rPr>
                <w:rFonts w:cs="Calibri"/>
                <w:b/>
                <w:color w:val="FF0000"/>
                <w:lang w:eastAsia="en-IN"/>
              </w:rPr>
            </w:pPr>
            <w:r>
              <w:rPr>
                <w:rFonts w:cs="Calibri"/>
                <w:b/>
                <w:color w:val="FF0000"/>
                <w:lang w:eastAsia="en-IN"/>
              </w:rPr>
              <w:t>34</w:t>
            </w:r>
            <w:r w:rsidR="0040745E">
              <w:rPr>
                <w:rFonts w:cs="Calibri"/>
                <w:b/>
                <w:color w:val="FF0000"/>
                <w:lang w:eastAsia="en-IN"/>
              </w:rPr>
              <w:t>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9106E">
        <w:rPr>
          <w:color w:val="000000"/>
        </w:rPr>
        <w:t>24</w:t>
      </w:r>
      <w:r w:rsidR="0040745E" w:rsidRPr="0040745E">
        <w:rPr>
          <w:color w:val="000000"/>
          <w:vertAlign w:val="superscript"/>
        </w:rPr>
        <w:t>t</w:t>
      </w:r>
      <w:r w:rsidR="00253FBD">
        <w:rPr>
          <w:color w:val="000000"/>
          <w:vertAlign w:val="superscript"/>
        </w:rPr>
        <w:t>h</w:t>
      </w:r>
      <w:r w:rsidR="0040745E">
        <w:rPr>
          <w:color w:val="000000"/>
        </w:rPr>
        <w:t xml:space="preserve"> August, </w:t>
      </w:r>
      <w:r>
        <w:rPr>
          <w:b/>
          <w:color w:val="FF0000"/>
        </w:rPr>
        <w:t>2018</w:t>
      </w:r>
      <w:r>
        <w:rPr>
          <w:b/>
          <w:color w:val="FF0000"/>
          <w:sz w:val="32"/>
          <w:szCs w:val="32"/>
        </w:rPr>
        <w:t xml:space="preserve"> at </w:t>
      </w:r>
      <w:r w:rsidR="007E3CFE">
        <w:rPr>
          <w:b/>
          <w:color w:val="FF0000"/>
          <w:sz w:val="32"/>
          <w:szCs w:val="32"/>
        </w:rPr>
        <w:t>14</w:t>
      </w:r>
      <w:r w:rsidR="00F848A2">
        <w:rPr>
          <w:b/>
          <w:color w:val="FF0000"/>
          <w:sz w:val="32"/>
          <w:szCs w:val="32"/>
        </w:rPr>
        <w:t>:</w:t>
      </w:r>
      <w:r w:rsidR="007E3CFE">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C9106E">
        <w:rPr>
          <w:color w:val="000000"/>
        </w:rPr>
        <w:t>24</w:t>
      </w:r>
      <w:r w:rsidR="0040745E" w:rsidRPr="0040745E">
        <w:rPr>
          <w:color w:val="000000"/>
          <w:vertAlign w:val="superscript"/>
        </w:rPr>
        <w:t>t</w:t>
      </w:r>
      <w:r w:rsidR="00253FBD">
        <w:rPr>
          <w:color w:val="000000"/>
          <w:vertAlign w:val="superscript"/>
        </w:rPr>
        <w:t>h</w:t>
      </w:r>
      <w:r w:rsidR="0040745E">
        <w:rPr>
          <w:color w:val="000000"/>
        </w:rPr>
        <w:t xml:space="preserve"> August, </w:t>
      </w:r>
      <w:r w:rsidR="0040745E">
        <w:rPr>
          <w:b/>
          <w:color w:val="FF0000"/>
        </w:rPr>
        <w:t>2018</w:t>
      </w:r>
      <w:r w:rsidR="0040745E">
        <w:rPr>
          <w:b/>
          <w:color w:val="FF0000"/>
          <w:sz w:val="32"/>
          <w:szCs w:val="32"/>
        </w:rPr>
        <w:t xml:space="preserve"> </w:t>
      </w:r>
      <w:r>
        <w:rPr>
          <w:b/>
          <w:color w:val="FF0000"/>
          <w:sz w:val="32"/>
          <w:szCs w:val="32"/>
        </w:rPr>
        <w:t xml:space="preserve"> at </w:t>
      </w:r>
      <w:r w:rsidR="00EF0643">
        <w:rPr>
          <w:b/>
          <w:color w:val="FF0000"/>
          <w:sz w:val="32"/>
          <w:szCs w:val="32"/>
        </w:rPr>
        <w:t>1</w:t>
      </w:r>
      <w:r w:rsidR="007E3CFE">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5C75C9" w:rsidRPr="00BA621B">
        <w:rPr>
          <w:rFonts w:cs="Arial"/>
          <w:b/>
          <w:bCs/>
          <w:color w:val="FF0000"/>
        </w:rPr>
        <w:t>CIAB</w:t>
      </w:r>
      <w:r w:rsidR="005C75C9" w:rsidRPr="00BA621B">
        <w:rPr>
          <w:rFonts w:cs="Calibri"/>
          <w:b/>
          <w:color w:val="FF0000"/>
          <w:lang w:eastAsia="en-IN"/>
        </w:rPr>
        <w:t xml:space="preserve"> /</w:t>
      </w:r>
      <w:r w:rsidR="00A63A43">
        <w:rPr>
          <w:rFonts w:cs="Calibri"/>
          <w:b/>
          <w:color w:val="FF0000"/>
          <w:lang w:eastAsia="en-IN"/>
        </w:rPr>
        <w:t>2</w:t>
      </w:r>
      <w:r w:rsidR="005C75C9" w:rsidRPr="00BA621B">
        <w:rPr>
          <w:rFonts w:cs="Calibri"/>
          <w:b/>
          <w:color w:val="FF0000"/>
          <w:lang w:eastAsia="en-IN"/>
        </w:rPr>
        <w:t>(</w:t>
      </w:r>
      <w:r w:rsidR="00A63A43">
        <w:rPr>
          <w:rFonts w:cs="Calibri"/>
          <w:b/>
          <w:color w:val="FF0000"/>
          <w:lang w:eastAsia="en-IN"/>
        </w:rPr>
        <w:t>23</w:t>
      </w:r>
      <w:r w:rsidR="005C75C9" w:rsidRPr="00BA621B">
        <w:rPr>
          <w:rFonts w:cs="Calibri"/>
          <w:b/>
          <w:color w:val="FF0000"/>
          <w:lang w:eastAsia="en-IN"/>
        </w:rPr>
        <w:t>)/1</w:t>
      </w:r>
      <w:r w:rsidR="00A63A43">
        <w:rPr>
          <w:rFonts w:cs="Calibri"/>
          <w:b/>
          <w:color w:val="FF0000"/>
          <w:lang w:eastAsia="en-IN"/>
        </w:rPr>
        <w:t>8</w:t>
      </w:r>
      <w:r w:rsidR="005C75C9" w:rsidRPr="00BA621B">
        <w:rPr>
          <w:rFonts w:cs="Calibri"/>
          <w:b/>
          <w:color w:val="FF0000"/>
          <w:lang w:eastAsia="en-IN"/>
        </w:rPr>
        <w:t>-1</w:t>
      </w:r>
      <w:r w:rsidR="00A63A43">
        <w:rPr>
          <w:rFonts w:cs="Calibri"/>
          <w:b/>
          <w:color w:val="FF0000"/>
          <w:lang w:eastAsia="en-IN"/>
        </w:rPr>
        <w:t>9</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DC373F">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sidR="00DC373F">
              <w:rPr>
                <w:rFonts w:cs="Calibri"/>
                <w:b/>
                <w:color w:val="FF0000"/>
                <w:lang w:eastAsia="en-IN"/>
              </w:rPr>
              <w:t>2</w:t>
            </w:r>
            <w:r w:rsidRPr="00BA621B">
              <w:rPr>
                <w:rFonts w:cs="Calibri"/>
                <w:b/>
                <w:color w:val="FF0000"/>
                <w:lang w:eastAsia="en-IN"/>
              </w:rPr>
              <w:t>(</w:t>
            </w:r>
            <w:r w:rsidR="00A63A43">
              <w:rPr>
                <w:rFonts w:cs="Calibri"/>
                <w:b/>
                <w:color w:val="FF0000"/>
                <w:lang w:eastAsia="en-IN"/>
              </w:rPr>
              <w:t>23)</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E500E1" w:rsidP="00C56C37">
            <w:pPr>
              <w:jc w:val="center"/>
              <w:rPr>
                <w:rFonts w:cs="Calibri"/>
                <w:b/>
                <w:color w:val="000000"/>
                <w:lang w:eastAsia="en-IN"/>
              </w:rPr>
            </w:pPr>
            <w:r>
              <w:rPr>
                <w:rFonts w:cs="Calibri"/>
                <w:b/>
                <w:color w:val="FF0000"/>
                <w:lang w:eastAsia="en-IN"/>
              </w:rPr>
              <w:t xml:space="preserve">Multimode </w:t>
            </w:r>
            <w:r w:rsidR="005C75C9">
              <w:rPr>
                <w:rFonts w:cs="Calibri"/>
                <w:b/>
                <w:color w:val="FF0000"/>
                <w:lang w:eastAsia="en-IN"/>
              </w:rPr>
              <w:t>Microplate Reader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E500E1" w:rsidP="005C75C9">
            <w:pPr>
              <w:jc w:val="center"/>
              <w:rPr>
                <w:rFonts w:cs="Calibri"/>
                <w:b/>
                <w:color w:val="000000"/>
                <w:lang w:eastAsia="en-IN"/>
              </w:rPr>
            </w:pPr>
            <w:r>
              <w:rPr>
                <w:rFonts w:cs="Calibri"/>
                <w:b/>
                <w:color w:val="000000"/>
                <w:lang w:eastAsia="en-IN"/>
              </w:rPr>
              <w:t>3400</w:t>
            </w:r>
            <w:r w:rsidR="003C0855">
              <w:rPr>
                <w:rFonts w:cs="Calibri"/>
                <w:b/>
                <w:color w:val="000000"/>
                <w:lang w:eastAsia="en-IN"/>
              </w:rPr>
              <w:t>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w:t>
      </w:r>
      <w:r w:rsidR="00F40E56">
        <w:rPr>
          <w:color w:val="000000"/>
          <w:sz w:val="20"/>
          <w:szCs w:val="20"/>
        </w:rPr>
        <w:t>18</w:t>
      </w:r>
      <w:r w:rsidR="00C56C37">
        <w:rPr>
          <w:color w:val="000000"/>
          <w:sz w:val="20"/>
          <w:szCs w:val="20"/>
        </w:rPr>
        <w:t>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w:t>
      </w:r>
      <w:r w:rsidR="00F40E56">
        <w:rPr>
          <w:color w:val="FF0000"/>
          <w:sz w:val="20"/>
          <w:szCs w:val="20"/>
        </w:rPr>
        <w:t>18</w:t>
      </w:r>
      <w:r w:rsidR="00C56C37" w:rsidRPr="00DD171E">
        <w:rPr>
          <w:color w:val="FF0000"/>
          <w:sz w:val="20"/>
          <w:szCs w:val="20"/>
        </w:rPr>
        <w:t>0</w:t>
      </w:r>
      <w:r w:rsidRPr="00DD171E">
        <w:rPr>
          <w:color w:val="FF0000"/>
          <w:sz w:val="20"/>
          <w:szCs w:val="20"/>
        </w:rPr>
        <w:t>/- (</w:t>
      </w:r>
      <w:r w:rsidR="00F40E56">
        <w:rPr>
          <w:color w:val="000000"/>
          <w:sz w:val="20"/>
          <w:szCs w:val="20"/>
        </w:rPr>
        <w:t xml:space="preserve">Rupee </w:t>
      </w:r>
      <w:r w:rsidR="00F40E56" w:rsidRPr="00C56C37">
        <w:rPr>
          <w:color w:val="000000"/>
          <w:sz w:val="20"/>
          <w:szCs w:val="20"/>
        </w:rPr>
        <w:t xml:space="preserve">One Thousand </w:t>
      </w:r>
      <w:r w:rsidR="00F40E56">
        <w:rPr>
          <w:color w:val="000000"/>
          <w:sz w:val="20"/>
          <w:szCs w:val="20"/>
        </w:rPr>
        <w:t>One</w:t>
      </w:r>
      <w:r w:rsidR="00F40E56" w:rsidRPr="00C56C37">
        <w:rPr>
          <w:color w:val="000000"/>
          <w:sz w:val="20"/>
          <w:szCs w:val="20"/>
        </w:rPr>
        <w:t xml:space="preserve"> Hundred </w:t>
      </w:r>
      <w:r w:rsidR="00F40E56">
        <w:rPr>
          <w:color w:val="000000"/>
          <w:sz w:val="20"/>
          <w:szCs w:val="20"/>
        </w:rPr>
        <w:t>Eigh</w:t>
      </w:r>
      <w:r w:rsidR="00F40E56" w:rsidRPr="00C56C37">
        <w:rPr>
          <w:color w:val="000000"/>
          <w:sz w:val="20"/>
          <w:szCs w:val="20"/>
        </w:rPr>
        <w:t xml:space="preserve">ty </w:t>
      </w:r>
      <w:r w:rsidR="00F40E56">
        <w:rPr>
          <w:color w:val="000000"/>
          <w:sz w:val="20"/>
          <w:szCs w:val="20"/>
        </w:rPr>
        <w:t>Only</w:t>
      </w:r>
      <w:r>
        <w:rPr>
          <w:color w:val="000000"/>
          <w:sz w:val="20"/>
          <w:szCs w:val="20"/>
        </w:rPr>
        <w:t>)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253FBD">
        <w:rPr>
          <w:color w:val="FF0000"/>
          <w:sz w:val="20"/>
          <w:szCs w:val="20"/>
        </w:rPr>
        <w:t xml:space="preserve">24 </w:t>
      </w:r>
      <w:r w:rsidR="00A32C0D" w:rsidRPr="00A32C0D">
        <w:rPr>
          <w:color w:val="FF0000"/>
          <w:sz w:val="20"/>
          <w:szCs w:val="20"/>
        </w:rPr>
        <w:t>August</w:t>
      </w:r>
      <w:r w:rsidR="00A32C0D">
        <w:rPr>
          <w:color w:val="000000"/>
          <w:sz w:val="20"/>
          <w:szCs w:val="20"/>
        </w:rPr>
        <w:t xml:space="preserve">, </w:t>
      </w:r>
      <w:r w:rsidRPr="00DD171E">
        <w:rPr>
          <w:b/>
          <w:color w:val="FF0000"/>
          <w:sz w:val="20"/>
          <w:szCs w:val="20"/>
        </w:rPr>
        <w:t xml:space="preserve">2018 @ </w:t>
      </w:r>
      <w:r w:rsidR="008211FF">
        <w:rPr>
          <w:b/>
          <w:color w:val="FF0000"/>
          <w:sz w:val="20"/>
          <w:szCs w:val="20"/>
        </w:rPr>
        <w:t>1</w:t>
      </w:r>
      <w:r w:rsidR="00F40E56">
        <w:rPr>
          <w:b/>
          <w:color w:val="FF0000"/>
          <w:sz w:val="20"/>
          <w:szCs w:val="20"/>
        </w:rPr>
        <w:t>4</w:t>
      </w:r>
      <w:r w:rsidR="008211FF">
        <w:rPr>
          <w:b/>
          <w:color w:val="FF0000"/>
          <w:sz w:val="20"/>
          <w:szCs w:val="20"/>
        </w:rPr>
        <w:t>:</w:t>
      </w:r>
      <w:r w:rsidR="00F40E56">
        <w:rPr>
          <w:b/>
          <w:color w:val="FF0000"/>
          <w:sz w:val="20"/>
          <w:szCs w:val="20"/>
        </w:rPr>
        <w:t>3</w:t>
      </w:r>
      <w:r w:rsidR="00F05C90">
        <w:rPr>
          <w:b/>
          <w:color w:val="FF0000"/>
          <w:sz w:val="20"/>
          <w:szCs w:val="20"/>
        </w:rPr>
        <w:t>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230451">
              <w:rPr>
                <w:rFonts w:cs="Arial"/>
                <w:b/>
                <w:color w:val="FF0000"/>
                <w:highlight w:val="yellow"/>
              </w:rPr>
              <w:t>24</w:t>
            </w:r>
            <w:r w:rsidR="005C75C9">
              <w:rPr>
                <w:rFonts w:cs="Arial"/>
                <w:b/>
                <w:color w:val="FF0000"/>
                <w:highlight w:val="yellow"/>
              </w:rPr>
              <w:t xml:space="preserve"> August,  </w:t>
            </w:r>
            <w:r w:rsidR="00001E6D" w:rsidRPr="00DD171E">
              <w:rPr>
                <w:rFonts w:cs="Arial"/>
                <w:b/>
                <w:color w:val="FF0000"/>
                <w:highlight w:val="yellow"/>
              </w:rPr>
              <w:t>2018 (</w:t>
            </w:r>
            <w:r w:rsidR="005C75C9">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230451">
              <w:rPr>
                <w:rFonts w:cs="Arial"/>
                <w:b/>
                <w:color w:val="FF0000"/>
                <w:highlight w:val="yellow"/>
              </w:rPr>
              <w:t>24</w:t>
            </w:r>
            <w:r w:rsidR="005C75C9">
              <w:rPr>
                <w:rFonts w:cs="Arial"/>
                <w:b/>
                <w:color w:val="FF0000"/>
                <w:highlight w:val="yellow"/>
              </w:rPr>
              <w:t xml:space="preserve"> August,  </w:t>
            </w:r>
            <w:r w:rsidR="005C75C9" w:rsidRPr="00DD171E">
              <w:rPr>
                <w:rFonts w:cs="Arial"/>
                <w:b/>
                <w:color w:val="FF0000"/>
                <w:highlight w:val="yellow"/>
              </w:rPr>
              <w:t>2018 (</w:t>
            </w:r>
            <w:r w:rsidR="005C75C9">
              <w:rPr>
                <w:rFonts w:cs="Arial"/>
                <w:b/>
                <w:color w:val="FF0000"/>
                <w:highlight w:val="yellow"/>
              </w:rPr>
              <w:t>15:00</w:t>
            </w:r>
            <w:r w:rsidR="005C75C9" w:rsidRPr="00DD171E">
              <w:rPr>
                <w:rFonts w:cs="Arial"/>
                <w:b/>
                <w:color w:val="FF0000"/>
                <w:highlight w:val="yellow"/>
              </w:rPr>
              <w:t xml:space="preserve"> Hrs)</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r w:rsidR="00001E6D" w:rsidRPr="005E4761">
        <w:rPr>
          <w:rFonts w:cs="Arial"/>
          <w:b/>
          <w:bCs/>
          <w:color w:val="FF0000"/>
          <w:u w:val="single"/>
        </w:rPr>
        <w:t>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EE31EB">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EE31EB">
        <w:rPr>
          <w:rFonts w:ascii="Arial" w:hAnsi="Arial" w:cs="Arial"/>
          <w:b/>
          <w:bCs/>
          <w:sz w:val="18"/>
          <w:szCs w:val="18"/>
        </w:rPr>
        <w:t xml:space="preserve"> July, </w:t>
      </w:r>
      <w:r w:rsidRPr="00876D44">
        <w:rPr>
          <w:rFonts w:ascii="Arial" w:hAnsi="Arial" w:cs="Arial"/>
          <w:b/>
          <w:bCs/>
          <w:sz w:val="18"/>
          <w:szCs w:val="18"/>
        </w:rPr>
        <w:t>201</w:t>
      </w:r>
      <w:r w:rsidR="00EE31EB">
        <w:rPr>
          <w:rFonts w:ascii="Arial" w:hAnsi="Arial" w:cs="Arial"/>
          <w:b/>
          <w:bCs/>
          <w:sz w:val="18"/>
          <w:szCs w:val="18"/>
        </w:rPr>
        <w:t>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F97CC6">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7CC6" w:rsidRDefault="00BD6E0A" w:rsidP="00107349">
      <w:pPr>
        <w:numPr>
          <w:ilvl w:val="0"/>
          <w:numId w:val="10"/>
        </w:numPr>
        <w:spacing w:after="0" w:line="240" w:lineRule="auto"/>
        <w:jc w:val="both"/>
        <w:rPr>
          <w:rFonts w:cs="Arial"/>
          <w:sz w:val="18"/>
          <w:szCs w:val="20"/>
        </w:rPr>
      </w:pPr>
      <w:r w:rsidRPr="00F97CC6">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7CC6">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E500E1" w:rsidP="00DD0F61">
      <w:pPr>
        <w:spacing w:after="0" w:line="240" w:lineRule="auto"/>
        <w:jc w:val="center"/>
        <w:rPr>
          <w:rFonts w:ascii="Arial" w:eastAsia="Times New Roman" w:hAnsi="Arial"/>
          <w:b/>
          <w:bCs/>
          <w:sz w:val="24"/>
          <w:szCs w:val="24"/>
          <w:u w:val="single"/>
          <w:lang w:val="en-IN"/>
        </w:rPr>
      </w:pPr>
      <w:r>
        <w:rPr>
          <w:rFonts w:ascii="Times New Roman" w:hAnsi="Times New Roman"/>
          <w:b/>
          <w:bCs/>
          <w:iCs/>
          <w:sz w:val="28"/>
          <w:szCs w:val="24"/>
          <w:u w:val="single"/>
        </w:rPr>
        <w:t xml:space="preserve">Multimode </w:t>
      </w:r>
      <w:r w:rsidR="009B52CB">
        <w:rPr>
          <w:rFonts w:ascii="Times New Roman" w:hAnsi="Times New Roman"/>
          <w:b/>
          <w:bCs/>
          <w:iCs/>
          <w:sz w:val="28"/>
          <w:szCs w:val="24"/>
          <w:u w:val="single"/>
        </w:rPr>
        <w:t>Microplate Reader Spectrophotometer</w:t>
      </w:r>
      <w:r w:rsidR="007073AD">
        <w:rPr>
          <w:rFonts w:ascii="Arial" w:eastAsia="Times New Roman" w:hAnsi="Arial"/>
          <w:b/>
          <w:bCs/>
          <w:sz w:val="24"/>
          <w:szCs w:val="24"/>
          <w:u w:val="single"/>
          <w:lang w:val="en-IN"/>
        </w:rPr>
        <w:t>:  Qty-01</w:t>
      </w:r>
      <w:r w:rsidR="00EC5464">
        <w:rPr>
          <w:rFonts w:ascii="Arial" w:eastAsia="Times New Roman" w:hAnsi="Arial"/>
          <w:b/>
          <w:bCs/>
          <w:sz w:val="24"/>
          <w:szCs w:val="24"/>
          <w:u w:val="single"/>
          <w:lang w:val="en-IN"/>
        </w:rPr>
        <w:t xml:space="preserve"> </w:t>
      </w:r>
    </w:p>
    <w:p w:rsidR="00491D9D" w:rsidRDefault="00491D9D" w:rsidP="00DD0F61">
      <w:pPr>
        <w:spacing w:after="0" w:line="240" w:lineRule="auto"/>
        <w:jc w:val="center"/>
        <w:rPr>
          <w:rFonts w:ascii="Arial" w:eastAsia="Times New Roman" w:hAnsi="Arial"/>
          <w:b/>
          <w:bCs/>
          <w:sz w:val="24"/>
          <w:szCs w:val="24"/>
          <w:u w:val="single"/>
          <w:lang w:val="en-IN"/>
        </w:rPr>
      </w:pPr>
    </w:p>
    <w:p w:rsidR="00E500E1" w:rsidRPr="00E7077B" w:rsidRDefault="00E500E1" w:rsidP="00E500E1">
      <w:pPr>
        <w:spacing w:line="360" w:lineRule="auto"/>
        <w:rPr>
          <w:rFonts w:ascii="Times New Roman" w:hAnsi="Times New Roman"/>
          <w:b/>
          <w:sz w:val="24"/>
          <w:szCs w:val="24"/>
        </w:rPr>
      </w:pPr>
      <w:r w:rsidRPr="00E7077B">
        <w:rPr>
          <w:rFonts w:ascii="Times New Roman" w:hAnsi="Times New Roman"/>
          <w:b/>
          <w:sz w:val="24"/>
          <w:szCs w:val="24"/>
        </w:rPr>
        <w:t>Technical Specifications</w:t>
      </w:r>
      <w:r>
        <w:rPr>
          <w:rFonts w:ascii="Times New Roman" w:hAnsi="Times New Roman"/>
          <w:b/>
          <w:sz w:val="24"/>
          <w:szCs w:val="24"/>
        </w:rPr>
        <w:t>:</w:t>
      </w:r>
      <w:r w:rsidRPr="00E7077B">
        <w:rPr>
          <w:rFonts w:ascii="Times New Roman" w:hAnsi="Times New Roman"/>
          <w:b/>
          <w:sz w:val="24"/>
          <w:szCs w:val="24"/>
        </w:rPr>
        <w:t xml:space="preserve"> </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A Multimode Reader with following Detection Chemistries in Monochromator Mode ‐ UV‐VIS Absorbance  ‐  (230‐1000nm), Fluorescence Intensity (Top and Bottom) – (Ex, Em250‐ 850nm), Luminescence – (400 ‐850</w:t>
      </w:r>
      <w:r>
        <w:rPr>
          <w:rFonts w:ascii="Times New Roman" w:hAnsi="Times New Roman"/>
          <w:sz w:val="24"/>
          <w:szCs w:val="24"/>
        </w:rPr>
        <w:t xml:space="preserve">  </w:t>
      </w:r>
      <w:r w:rsidRPr="00E7077B">
        <w:rPr>
          <w:rFonts w:ascii="Times New Roman" w:hAnsi="Times New Roman"/>
          <w:sz w:val="24"/>
          <w:szCs w:val="24"/>
        </w:rPr>
        <w:t>nm).  </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 xml:space="preserve"> System should offer excitation light source as Xenon Flash lamp or Light Emitting Diodes(LEDs), providing maximum strength excitation light across the spectrum.</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 xml:space="preserve">System should offer Automatic PMT feature (for auto voltage setting of PMT) and if LED is provided then variable power LED excitation source with Auto Intensity Adjustment for high dynamic range on each plate without the need to re‐read the samples. </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System should offer Path Check sensor or Path length correction independent of temperature, accessory‐free sample path length measurement.</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System should offer programmable linear and orbital microplate shaking methods.</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System should offer temperature control in the microplate chamber from 5°C above ambient to 40 °C or better.</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System should offer ability to read 6, 12, 24, 48, 96, 384 well plates.</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Spectral scanning ‐ Absorbance, Fluorescence &amp; Luminescence.</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Well scanning for at least 10 * 10 data points in all modes or better</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Dynamic range should be up to 6 logs to generate more data points without the need to dilute.</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Fluorescence Sensitivity – Top Read ‐ 96 wells 10 pM. Bottom Read ‐ 96 wells 10 pM.</w:t>
      </w:r>
    </w:p>
    <w:p w:rsidR="00E500E1" w:rsidRPr="00E7077B"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Luminescence Sensitivity (Glow): 96 wells – 10pM or better and 384 wells 10pM or better.</w:t>
      </w:r>
    </w:p>
    <w:p w:rsidR="00E500E1" w:rsidRDefault="00E500E1" w:rsidP="00E500E1">
      <w:pPr>
        <w:pStyle w:val="ListParagraph"/>
        <w:numPr>
          <w:ilvl w:val="0"/>
          <w:numId w:val="36"/>
        </w:numPr>
        <w:spacing w:after="160" w:line="360" w:lineRule="auto"/>
        <w:jc w:val="both"/>
        <w:rPr>
          <w:rFonts w:ascii="Times New Roman" w:hAnsi="Times New Roman"/>
          <w:sz w:val="24"/>
          <w:szCs w:val="24"/>
        </w:rPr>
      </w:pPr>
      <w:r w:rsidRPr="00E7077B">
        <w:rPr>
          <w:rFonts w:ascii="Times New Roman" w:hAnsi="Times New Roman"/>
          <w:sz w:val="24"/>
          <w:szCs w:val="24"/>
        </w:rPr>
        <w:t>System should be quoted with low volume (2 uL) plate, which can analyze 16 samples or more simultaneously for DNA, RNA, and Protein quantitation.</w:t>
      </w:r>
    </w:p>
    <w:p w:rsidR="00BD6E0A" w:rsidRDefault="00107349" w:rsidP="00072B5D">
      <w:pPr>
        <w:spacing w:after="0" w:line="240"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lastRenderedPageBreak/>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w:t>
      </w:r>
      <w:r w:rsidR="00267648">
        <w:rPr>
          <w:rFonts w:ascii="Arial" w:eastAsia="Times New Roman" w:hAnsi="Arial"/>
          <w:color w:val="000000"/>
        </w:rPr>
        <w:t xml:space="preserve">te Govt./PSUs/Autonomous bodies </w:t>
      </w:r>
      <w:r w:rsidRPr="007E494C">
        <w:rPr>
          <w:rFonts w:ascii="Arial" w:eastAsia="Times New Roman" w:hAnsi="Arial"/>
          <w:color w:val="000000"/>
        </w:rPr>
        <w:t>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80" w:rsidRDefault="00BD6180">
      <w:pPr>
        <w:spacing w:after="0" w:line="240" w:lineRule="auto"/>
      </w:pPr>
      <w:r>
        <w:separator/>
      </w:r>
    </w:p>
  </w:endnote>
  <w:endnote w:type="continuationSeparator" w:id="0">
    <w:p w:rsidR="00BD6180" w:rsidRDefault="00BD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711" w:rsidRDefault="00812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D708F">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D708F">
      <w:rPr>
        <w:rStyle w:val="PageNumber"/>
        <w:noProof/>
        <w:sz w:val="20"/>
        <w:szCs w:val="20"/>
      </w:rPr>
      <w:t>30</w:t>
    </w:r>
    <w:r>
      <w:rPr>
        <w:rStyle w:val="PageNumber"/>
        <w:sz w:val="20"/>
        <w:szCs w:val="20"/>
      </w:rPr>
      <w:fldChar w:fldCharType="end"/>
    </w:r>
  </w:p>
  <w:p w:rsidR="00812711" w:rsidRDefault="00812711">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pPr>
      <w:spacing w:before="140" w:line="100" w:lineRule="exact"/>
      <w:rPr>
        <w:sz w:val="10"/>
      </w:rPr>
    </w:pPr>
  </w:p>
  <w:p w:rsidR="00812711" w:rsidRDefault="00812711">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812711" w:rsidRDefault="00812711">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rsidP="00C1416A">
    <w:pPr>
      <w:pStyle w:val="Footer"/>
      <w:pBdr>
        <w:bottom w:val="single" w:sz="6" w:space="1" w:color="auto"/>
      </w:pBdr>
    </w:pPr>
  </w:p>
  <w:p w:rsidR="00812711" w:rsidRPr="00DD5BA3" w:rsidRDefault="00812711"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812711" w:rsidRPr="00DD5BA3" w:rsidRDefault="00812711" w:rsidP="00450612">
    <w:pPr>
      <w:pStyle w:val="Footer"/>
      <w:rPr>
        <w:b/>
      </w:rPr>
    </w:pPr>
    <w:r>
      <w:rPr>
        <w:b/>
      </w:rPr>
      <w:t>Website: www.ciab.res.in</w:t>
    </w:r>
    <w:r w:rsidRPr="00DD5BA3">
      <w:rPr>
        <w:b/>
      </w:rPr>
      <w:t xml:space="preserve">                                      </w:t>
    </w:r>
    <w:r>
      <w:rPr>
        <w:b/>
      </w:rPr>
      <w:t xml:space="preserve">                                                                             Fax: 0172- 5221499</w:t>
    </w:r>
  </w:p>
  <w:p w:rsidR="00812711" w:rsidRPr="00566C44" w:rsidRDefault="00812711"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80" w:rsidRDefault="00BD6180">
      <w:pPr>
        <w:spacing w:after="0" w:line="240" w:lineRule="auto"/>
      </w:pPr>
      <w:r>
        <w:separator/>
      </w:r>
    </w:p>
  </w:footnote>
  <w:footnote w:type="continuationSeparator" w:id="0">
    <w:p w:rsidR="00BD6180" w:rsidRDefault="00BD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711" w:rsidRDefault="00812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1" w:rsidRDefault="00812711"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812711" w:rsidRPr="00DD5BA3" w:rsidRDefault="00812711"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812711" w:rsidRPr="00DD5BA3" w:rsidRDefault="00812711"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812711" w:rsidRPr="005A046B" w:rsidRDefault="00812711"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812711" w:rsidRPr="005A046B" w:rsidRDefault="00812711"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812711" w:rsidRPr="00DD5BA3" w:rsidRDefault="00812711" w:rsidP="00C1416A">
                          <w:pPr>
                            <w:pStyle w:val="Header"/>
                            <w:spacing w:line="276" w:lineRule="auto"/>
                            <w:jc w:val="center"/>
                            <w:rPr>
                              <w:rFonts w:ascii="Arial" w:hAnsi="Arial" w:cs="Arial"/>
                              <w:b/>
                              <w:sz w:val="20"/>
                            </w:rPr>
                          </w:pPr>
                        </w:p>
                        <w:p w:rsidR="00812711" w:rsidRDefault="00812711" w:rsidP="00C1416A">
                          <w:pPr>
                            <w:pStyle w:val="Header"/>
                            <w:spacing w:line="276" w:lineRule="auto"/>
                            <w:jc w:val="center"/>
                            <w:rPr>
                              <w:rFonts w:ascii="Arial" w:hAnsi="Arial" w:cs="Arial"/>
                              <w:b/>
                              <w:color w:val="92D050"/>
                              <w:sz w:val="20"/>
                            </w:rPr>
                          </w:pPr>
                        </w:p>
                        <w:p w:rsidR="00812711" w:rsidRDefault="00812711" w:rsidP="00C1416A">
                          <w:pPr>
                            <w:pStyle w:val="Header"/>
                            <w:spacing w:line="276" w:lineRule="auto"/>
                            <w:jc w:val="center"/>
                            <w:rPr>
                              <w:rFonts w:ascii="Arial" w:hAnsi="Arial" w:cs="Arial"/>
                              <w:b/>
                              <w:color w:val="92D050"/>
                              <w:sz w:val="20"/>
                            </w:rPr>
                          </w:pPr>
                        </w:p>
                        <w:p w:rsidR="00812711" w:rsidRPr="00826ABB" w:rsidRDefault="00812711"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7C70CE" w:rsidRPr="00DD5BA3" w:rsidRDefault="007C70CE"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7C70CE" w:rsidRPr="00DD5BA3" w:rsidRDefault="007C70CE"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7C70CE" w:rsidRPr="005A046B" w:rsidRDefault="007C70CE"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7C70CE" w:rsidRPr="005A046B" w:rsidRDefault="007C70CE"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7C70CE" w:rsidRPr="00DD5BA3" w:rsidRDefault="007C70CE" w:rsidP="00C1416A">
                    <w:pPr>
                      <w:pStyle w:val="Header"/>
                      <w:spacing w:line="276" w:lineRule="auto"/>
                      <w:jc w:val="center"/>
                      <w:rPr>
                        <w:rFonts w:ascii="Arial" w:hAnsi="Arial" w:cs="Arial"/>
                        <w:b/>
                        <w:sz w:val="20"/>
                      </w:rPr>
                    </w:pPr>
                  </w:p>
                  <w:p w:rsidR="007C70CE" w:rsidRDefault="007C70CE" w:rsidP="00C1416A">
                    <w:pPr>
                      <w:pStyle w:val="Header"/>
                      <w:spacing w:line="276" w:lineRule="auto"/>
                      <w:jc w:val="center"/>
                      <w:rPr>
                        <w:rFonts w:ascii="Arial" w:hAnsi="Arial" w:cs="Arial"/>
                        <w:b/>
                        <w:color w:val="92D050"/>
                        <w:sz w:val="20"/>
                      </w:rPr>
                    </w:pPr>
                  </w:p>
                  <w:p w:rsidR="007C70CE" w:rsidRDefault="007C70CE" w:rsidP="00C1416A">
                    <w:pPr>
                      <w:pStyle w:val="Header"/>
                      <w:spacing w:line="276" w:lineRule="auto"/>
                      <w:jc w:val="center"/>
                      <w:rPr>
                        <w:rFonts w:ascii="Arial" w:hAnsi="Arial" w:cs="Arial"/>
                        <w:b/>
                        <w:color w:val="92D050"/>
                        <w:sz w:val="20"/>
                      </w:rPr>
                    </w:pPr>
                  </w:p>
                  <w:p w:rsidR="007C70CE" w:rsidRPr="00826ABB" w:rsidRDefault="007C70CE"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812711" w:rsidRDefault="00812711" w:rsidP="00C1416A">
    <w:pPr>
      <w:pStyle w:val="Header"/>
    </w:pPr>
  </w:p>
  <w:p w:rsidR="00812711" w:rsidRDefault="00812711" w:rsidP="00C1416A">
    <w:pPr>
      <w:pStyle w:val="Header"/>
    </w:pPr>
  </w:p>
  <w:p w:rsidR="00812711" w:rsidRDefault="00812711" w:rsidP="00C1416A">
    <w:pPr>
      <w:pStyle w:val="Header"/>
    </w:pPr>
  </w:p>
  <w:p w:rsidR="00812711" w:rsidRPr="007A4F55" w:rsidRDefault="00812711"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AA3592"/>
    <w:multiLevelType w:val="hybridMultilevel"/>
    <w:tmpl w:val="FC3AEB6C"/>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5"/>
  </w:num>
  <w:num w:numId="5">
    <w:abstractNumId w:val="27"/>
  </w:num>
  <w:num w:numId="6">
    <w:abstractNumId w:val="16"/>
  </w:num>
  <w:num w:numId="7">
    <w:abstractNumId w:val="28"/>
  </w:num>
  <w:num w:numId="8">
    <w:abstractNumId w:val="31"/>
  </w:num>
  <w:num w:numId="9">
    <w:abstractNumId w:val="19"/>
  </w:num>
  <w:num w:numId="10">
    <w:abstractNumId w:val="11"/>
  </w:num>
  <w:num w:numId="11">
    <w:abstractNumId w:val="25"/>
  </w:num>
  <w:num w:numId="12">
    <w:abstractNumId w:val="33"/>
  </w:num>
  <w:num w:numId="13">
    <w:abstractNumId w:val="2"/>
  </w:num>
  <w:num w:numId="14">
    <w:abstractNumId w:val="3"/>
  </w:num>
  <w:num w:numId="15">
    <w:abstractNumId w:val="34"/>
  </w:num>
  <w:num w:numId="16">
    <w:abstractNumId w:val="22"/>
  </w:num>
  <w:num w:numId="17">
    <w:abstractNumId w:val="5"/>
  </w:num>
  <w:num w:numId="18">
    <w:abstractNumId w:val="17"/>
  </w:num>
  <w:num w:numId="19">
    <w:abstractNumId w:val="4"/>
  </w:num>
  <w:num w:numId="20">
    <w:abstractNumId w:val="23"/>
  </w:num>
  <w:num w:numId="21">
    <w:abstractNumId w:val="18"/>
  </w:num>
  <w:num w:numId="22">
    <w:abstractNumId w:val="8"/>
  </w:num>
  <w:num w:numId="23">
    <w:abstractNumId w:val="0"/>
  </w:num>
  <w:num w:numId="24">
    <w:abstractNumId w:val="20"/>
  </w:num>
  <w:num w:numId="25">
    <w:abstractNumId w:val="32"/>
  </w:num>
  <w:num w:numId="26">
    <w:abstractNumId w:val="7"/>
  </w:num>
  <w:num w:numId="27">
    <w:abstractNumId w:val="29"/>
  </w:num>
  <w:num w:numId="28">
    <w:abstractNumId w:val="13"/>
  </w:num>
  <w:num w:numId="29">
    <w:abstractNumId w:val="30"/>
  </w:num>
  <w:num w:numId="30">
    <w:abstractNumId w:val="24"/>
  </w:num>
  <w:num w:numId="31">
    <w:abstractNumId w:val="10"/>
  </w:num>
  <w:num w:numId="32">
    <w:abstractNumId w:val="26"/>
  </w:num>
  <w:num w:numId="33">
    <w:abstractNumId w:val="1"/>
  </w:num>
  <w:num w:numId="34">
    <w:abstractNumId w:val="9"/>
  </w:num>
  <w:num w:numId="35">
    <w:abstractNumId w:val="3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07349"/>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1F10AE"/>
    <w:rsid w:val="00203ED8"/>
    <w:rsid w:val="00210301"/>
    <w:rsid w:val="0021175B"/>
    <w:rsid w:val="00216E9B"/>
    <w:rsid w:val="00217DC2"/>
    <w:rsid w:val="00230451"/>
    <w:rsid w:val="00230F2A"/>
    <w:rsid w:val="00235B48"/>
    <w:rsid w:val="00242380"/>
    <w:rsid w:val="00253FBD"/>
    <w:rsid w:val="00267648"/>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429C5"/>
    <w:rsid w:val="003777C0"/>
    <w:rsid w:val="0038081A"/>
    <w:rsid w:val="003A0D67"/>
    <w:rsid w:val="003A3E3F"/>
    <w:rsid w:val="003B588D"/>
    <w:rsid w:val="003C0855"/>
    <w:rsid w:val="003E16F2"/>
    <w:rsid w:val="003E2D5B"/>
    <w:rsid w:val="003E36BA"/>
    <w:rsid w:val="003E7D5E"/>
    <w:rsid w:val="003F0832"/>
    <w:rsid w:val="003F22AC"/>
    <w:rsid w:val="004008A0"/>
    <w:rsid w:val="0040745E"/>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B56B7"/>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4DF1"/>
    <w:rsid w:val="005C07F3"/>
    <w:rsid w:val="005C35FA"/>
    <w:rsid w:val="005C4325"/>
    <w:rsid w:val="005C75C9"/>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D708F"/>
    <w:rsid w:val="006F4052"/>
    <w:rsid w:val="00705050"/>
    <w:rsid w:val="007073AD"/>
    <w:rsid w:val="00712A87"/>
    <w:rsid w:val="007154DC"/>
    <w:rsid w:val="00725008"/>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C70CE"/>
    <w:rsid w:val="007E3CFE"/>
    <w:rsid w:val="007E40B6"/>
    <w:rsid w:val="007E494C"/>
    <w:rsid w:val="007E54B2"/>
    <w:rsid w:val="00800007"/>
    <w:rsid w:val="0080429C"/>
    <w:rsid w:val="0080538A"/>
    <w:rsid w:val="008070E5"/>
    <w:rsid w:val="00807834"/>
    <w:rsid w:val="00812115"/>
    <w:rsid w:val="00812711"/>
    <w:rsid w:val="00816489"/>
    <w:rsid w:val="008211FF"/>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4C44"/>
    <w:rsid w:val="008E7360"/>
    <w:rsid w:val="00904AAA"/>
    <w:rsid w:val="00914BAF"/>
    <w:rsid w:val="00930016"/>
    <w:rsid w:val="009362FB"/>
    <w:rsid w:val="00940375"/>
    <w:rsid w:val="00956FCD"/>
    <w:rsid w:val="00962FEF"/>
    <w:rsid w:val="009841B3"/>
    <w:rsid w:val="00985857"/>
    <w:rsid w:val="00992242"/>
    <w:rsid w:val="009A2B09"/>
    <w:rsid w:val="009A4D30"/>
    <w:rsid w:val="009B2AD7"/>
    <w:rsid w:val="009B52CB"/>
    <w:rsid w:val="009D1E80"/>
    <w:rsid w:val="009D4DAB"/>
    <w:rsid w:val="009D7E1C"/>
    <w:rsid w:val="009E1287"/>
    <w:rsid w:val="009E448F"/>
    <w:rsid w:val="009F1606"/>
    <w:rsid w:val="009F4BF7"/>
    <w:rsid w:val="00A15AD1"/>
    <w:rsid w:val="00A15B49"/>
    <w:rsid w:val="00A270F5"/>
    <w:rsid w:val="00A322F0"/>
    <w:rsid w:val="00A32C0D"/>
    <w:rsid w:val="00A53F86"/>
    <w:rsid w:val="00A55769"/>
    <w:rsid w:val="00A637BF"/>
    <w:rsid w:val="00A63A43"/>
    <w:rsid w:val="00A7105C"/>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A7007"/>
    <w:rsid w:val="00BC02E4"/>
    <w:rsid w:val="00BD0D0D"/>
    <w:rsid w:val="00BD3597"/>
    <w:rsid w:val="00BD5AA2"/>
    <w:rsid w:val="00BD6180"/>
    <w:rsid w:val="00BD6E0A"/>
    <w:rsid w:val="00BD78E4"/>
    <w:rsid w:val="00BE32F5"/>
    <w:rsid w:val="00C02D78"/>
    <w:rsid w:val="00C1017E"/>
    <w:rsid w:val="00C110ED"/>
    <w:rsid w:val="00C1416A"/>
    <w:rsid w:val="00C36841"/>
    <w:rsid w:val="00C56C37"/>
    <w:rsid w:val="00C57171"/>
    <w:rsid w:val="00C64FD3"/>
    <w:rsid w:val="00C7372C"/>
    <w:rsid w:val="00C9106E"/>
    <w:rsid w:val="00C92470"/>
    <w:rsid w:val="00C943D2"/>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10BE6"/>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C373F"/>
    <w:rsid w:val="00DD066F"/>
    <w:rsid w:val="00DD0F61"/>
    <w:rsid w:val="00DD171E"/>
    <w:rsid w:val="00DD2974"/>
    <w:rsid w:val="00DD59DF"/>
    <w:rsid w:val="00DD5BA3"/>
    <w:rsid w:val="00DE3FE1"/>
    <w:rsid w:val="00E071D8"/>
    <w:rsid w:val="00E14ABF"/>
    <w:rsid w:val="00E221AA"/>
    <w:rsid w:val="00E22415"/>
    <w:rsid w:val="00E241A9"/>
    <w:rsid w:val="00E24235"/>
    <w:rsid w:val="00E316D7"/>
    <w:rsid w:val="00E325C9"/>
    <w:rsid w:val="00E34398"/>
    <w:rsid w:val="00E500E1"/>
    <w:rsid w:val="00E5633B"/>
    <w:rsid w:val="00E7248C"/>
    <w:rsid w:val="00E766C5"/>
    <w:rsid w:val="00E834E2"/>
    <w:rsid w:val="00E836A8"/>
    <w:rsid w:val="00E92F8B"/>
    <w:rsid w:val="00E9459A"/>
    <w:rsid w:val="00E955CC"/>
    <w:rsid w:val="00EC2C17"/>
    <w:rsid w:val="00EC5464"/>
    <w:rsid w:val="00EE0272"/>
    <w:rsid w:val="00EE31EB"/>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0E56"/>
    <w:rsid w:val="00F46BA3"/>
    <w:rsid w:val="00F55C35"/>
    <w:rsid w:val="00F84809"/>
    <w:rsid w:val="00F848A2"/>
    <w:rsid w:val="00F87689"/>
    <w:rsid w:val="00F97CC6"/>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AEA4-F59C-4B19-8007-DE4DB2C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30</Pages>
  <Words>14626</Words>
  <Characters>83374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89</cp:revision>
  <cp:lastPrinted>2018-08-07T07:34:00Z</cp:lastPrinted>
  <dcterms:created xsi:type="dcterms:W3CDTF">2018-06-07T04:17:00Z</dcterms:created>
  <dcterms:modified xsi:type="dcterms:W3CDTF">2018-08-07T07:34:00Z</dcterms:modified>
</cp:coreProperties>
</file>